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095EE1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10"/>
          <w:szCs w:val="26"/>
          <w:lang w:val="tg-Cyrl-TJ"/>
        </w:rPr>
      </w:pPr>
    </w:p>
    <w:p w14:paraId="154C8DE6" w14:textId="77777777" w:rsidR="002F477A" w:rsidRPr="002F477A" w:rsidRDefault="002F477A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26"/>
          <w:szCs w:val="26"/>
          <w:lang w:val="tg-Cyrl-TJ"/>
        </w:rPr>
      </w:pPr>
      <w:r w:rsidRPr="002F477A">
        <w:rPr>
          <w:rFonts w:ascii="Palatino Linotype" w:hAnsi="Palatino Linotype" w:cs="Times New Roman"/>
          <w:b/>
          <w:color w:val="0070C0"/>
          <w:sz w:val="26"/>
          <w:szCs w:val="26"/>
          <w:lang w:val="tg-Cyrl-TJ"/>
        </w:rPr>
        <w:t xml:space="preserve">Ставка рефинансирования была понижена на 2,0 </w:t>
      </w:r>
    </w:p>
    <w:p w14:paraId="13D3419D" w14:textId="34EC727E" w:rsidR="00DA31A8" w:rsidRPr="002F477A" w:rsidRDefault="002F477A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26"/>
          <w:szCs w:val="26"/>
          <w:lang w:val="tg-Cyrl-TJ"/>
        </w:rPr>
      </w:pPr>
      <w:r w:rsidRPr="002F477A">
        <w:rPr>
          <w:rFonts w:ascii="Palatino Linotype" w:hAnsi="Palatino Linotype" w:cs="Times New Roman"/>
          <w:b/>
          <w:color w:val="0070C0"/>
          <w:sz w:val="26"/>
          <w:szCs w:val="26"/>
          <w:lang w:val="tg-Cyrl-TJ"/>
        </w:rPr>
        <w:t>процентного пункта</w:t>
      </w:r>
    </w:p>
    <w:p w14:paraId="18ECB549" w14:textId="318307F1" w:rsidR="002F477A" w:rsidRPr="002F477A" w:rsidRDefault="002F477A" w:rsidP="002F477A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На очередном заседании Комитета по денежно-кредитной политике Национального банка Таджикистана №32 от 3 февраля 202</w:t>
      </w:r>
      <w:r w:rsidR="00095EE1" w:rsidRPr="00095EE1">
        <w:rPr>
          <w:rFonts w:ascii="Palatino Linotype" w:eastAsia="Times New Roman" w:hAnsi="Palatino Linotype" w:cs="Arial"/>
          <w:sz w:val="26"/>
          <w:szCs w:val="26"/>
          <w:lang w:eastAsia="ru-RU"/>
        </w:rPr>
        <w:t>3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года было принято решение понизить ставку рефинансирования на 2,0 процентного пункта и установить на уровне 11,0 процента годовых. Данное решение было принято с учетом дальнейшего воздействия потенциальных внутренних и внешних рисков на экономику, с учетом сохранения инфляции на установленном уровне и относительного улучшения инфляционных ожиданий населения. </w:t>
      </w:r>
    </w:p>
    <w:p w14:paraId="4BF36ECF" w14:textId="51A36A89" w:rsidR="002F477A" w:rsidRPr="00095EE1" w:rsidRDefault="002F477A" w:rsidP="002F477A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Также при принятии указанного решения были учтены оценка и прогноз влиятельн</w:t>
      </w:r>
      <w:r w:rsidR="00095EE1">
        <w:rPr>
          <w:rFonts w:ascii="Palatino Linotype" w:eastAsia="Times New Roman" w:hAnsi="Palatino Linotype" w:cs="Arial"/>
          <w:sz w:val="26"/>
          <w:szCs w:val="26"/>
          <w:lang w:eastAsia="ru-RU"/>
        </w:rPr>
        <w:t>ых международных организаций по</w:t>
      </w:r>
      <w:r w:rsidR="00095EE1" w:rsidRPr="00095EE1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снижению </w:t>
      </w:r>
      <w:bookmarkStart w:id="0" w:name="_GoBack"/>
      <w:bookmarkEnd w:id="0"/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инфляционных рисков в мире в качестве внешнего воздействующего фактора на уровень инфляции в стране.</w:t>
      </w:r>
    </w:p>
    <w:p w14:paraId="54EEEB5E" w14:textId="7DB71D93" w:rsidR="002F477A" w:rsidRPr="002F477A" w:rsidRDefault="002F477A" w:rsidP="002F477A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2F477A">
        <w:rPr>
          <w:rFonts w:ascii="Palatino Linotype" w:eastAsia="Times New Roman" w:hAnsi="Palatino Linotype" w:cs="Arial"/>
          <w:b/>
          <w:i/>
          <w:color w:val="0070C0"/>
          <w:sz w:val="26"/>
          <w:szCs w:val="26"/>
          <w:lang w:eastAsia="ru-RU"/>
        </w:rPr>
        <w:t>Инфляция и воздействующие факторы.</w:t>
      </w:r>
      <w:r w:rsidRPr="002F477A">
        <w:rPr>
          <w:rFonts w:ascii="Palatino Linotype" w:eastAsia="Times New Roman" w:hAnsi="Palatino Linotype" w:cs="Arial"/>
          <w:color w:val="0070C0"/>
          <w:sz w:val="26"/>
          <w:szCs w:val="26"/>
          <w:lang w:eastAsia="ru-RU"/>
        </w:rPr>
        <w:t xml:space="preserve"> 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На протяжении 2022 года влияние ряда различных событий и последствий в мире, как </w:t>
      </w:r>
      <w:r w:rsidR="00507FC8">
        <w:rPr>
          <w:rFonts w:ascii="Palatino Linotype" w:eastAsia="Times New Roman" w:hAnsi="Palatino Linotype" w:cs="Arial"/>
          <w:sz w:val="26"/>
          <w:szCs w:val="26"/>
          <w:lang w:eastAsia="ru-RU"/>
        </w:rPr>
        <w:t>напряженная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геополитическая обстановка в регионе, </w:t>
      </w:r>
      <w:r w:rsidR="00507FC8">
        <w:rPr>
          <w:rFonts w:ascii="Palatino Linotype" w:eastAsia="Times New Roman" w:hAnsi="Palatino Linotype" w:cs="Arial"/>
          <w:sz w:val="26"/>
          <w:szCs w:val="26"/>
          <w:lang w:eastAsia="ru-RU"/>
        </w:rPr>
        <w:t>торговые конфликты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между сверхдержавами, продолжение влияния отрицательных последствий коронавируса (COVID-19) и введение новых санкций против России, усилило финансовую и экономическую нестабильность в странах и повлияло росту уровня цен на товары и продукцию. Рост мировых инфляционных факторов, в свою очередь, оказал непосредственное влияние на уровень внутренних цен и инфляционные ожидания населения в основном в марте – мае месяцах </w:t>
      </w:r>
      <w:r w:rsidR="0001176F"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2022 года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.</w:t>
      </w:r>
    </w:p>
    <w:p w14:paraId="6CC84BC3" w14:textId="79BDB145" w:rsidR="002F477A" w:rsidRPr="002F477A" w:rsidRDefault="002F477A" w:rsidP="002F477A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Независимо от </w:t>
      </w:r>
      <w:r w:rsidR="00507FC8">
        <w:rPr>
          <w:rFonts w:ascii="Palatino Linotype" w:eastAsia="Times New Roman" w:hAnsi="Palatino Linotype" w:cs="Arial"/>
          <w:sz w:val="26"/>
          <w:szCs w:val="26"/>
          <w:lang w:eastAsia="ru-RU"/>
        </w:rPr>
        <w:t>вышеупомянутых сложностей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, в результате эффективной деятельности Национального банка Таджикистана и других соответствующих министерств и ведомств страны экономический рост и уровень инфляции в Республике Таджикистан за 2022 год были сохранены на соответствующем уровне.</w:t>
      </w:r>
    </w:p>
    <w:p w14:paraId="246A8D6B" w14:textId="7D4698CD" w:rsidR="00E863F7" w:rsidRPr="002F477A" w:rsidRDefault="002F477A" w:rsidP="002F477A">
      <w:pPr>
        <w:ind w:firstLine="708"/>
        <w:jc w:val="both"/>
        <w:rPr>
          <w:rFonts w:ascii="Palatino Linotype" w:hAnsi="Palatino Linotype" w:cs="Times New Roman"/>
          <w:sz w:val="26"/>
          <w:szCs w:val="26"/>
        </w:rPr>
      </w:pP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В том числе, уровень инфляции в 2022 году </w:t>
      </w:r>
      <w:r w:rsidR="000A605F">
        <w:rPr>
          <w:rFonts w:ascii="Palatino Linotype" w:eastAsia="Times New Roman" w:hAnsi="Palatino Linotype" w:cs="Arial"/>
          <w:sz w:val="26"/>
          <w:szCs w:val="26"/>
          <w:lang w:eastAsia="ru-RU"/>
        </w:rPr>
        <w:t>с учетом сложившийся сложностей</w:t>
      </w:r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, сохранен в пределах нижнего установленного предела 6,0 % (+/- 2 </w:t>
      </w:r>
      <w:proofErr w:type="spellStart"/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п.п</w:t>
      </w:r>
      <w:proofErr w:type="spellEnd"/>
      <w:r w:rsidRPr="002F477A">
        <w:rPr>
          <w:rFonts w:ascii="Palatino Linotype" w:eastAsia="Times New Roman" w:hAnsi="Palatino Linotype" w:cs="Arial"/>
          <w:sz w:val="26"/>
          <w:szCs w:val="26"/>
          <w:lang w:eastAsia="ru-RU"/>
        </w:rPr>
        <w:t>.) и составил 4,2 процента, что ниже на 3,8 процентного пункта по сравнению с аналогичным периодом прошлого года.</w:t>
      </w:r>
    </w:p>
    <w:sectPr w:rsidR="00E863F7" w:rsidRPr="002F477A" w:rsidSect="00DA31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709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D9B84" w14:textId="77777777" w:rsidR="00F908AC" w:rsidRDefault="00F908AC" w:rsidP="00162321">
      <w:pPr>
        <w:spacing w:after="0" w:line="240" w:lineRule="auto"/>
      </w:pPr>
      <w:r>
        <w:separator/>
      </w:r>
    </w:p>
  </w:endnote>
  <w:endnote w:type="continuationSeparator" w:id="0">
    <w:p w14:paraId="66C3F424" w14:textId="77777777" w:rsidR="00F908AC" w:rsidRDefault="00F908AC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55C43C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095EE1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095EE1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A46540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C3198" w14:textId="77777777" w:rsidR="00F908AC" w:rsidRDefault="00F908AC" w:rsidP="00162321">
      <w:pPr>
        <w:spacing w:after="0" w:line="240" w:lineRule="auto"/>
      </w:pPr>
      <w:r>
        <w:separator/>
      </w:r>
    </w:p>
  </w:footnote>
  <w:footnote w:type="continuationSeparator" w:id="0">
    <w:p w14:paraId="347D0616" w14:textId="77777777" w:rsidR="00F908AC" w:rsidRDefault="00F908AC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1176F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95EE1"/>
    <w:rsid w:val="000A4A2E"/>
    <w:rsid w:val="000A605F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92783"/>
    <w:rsid w:val="001957D0"/>
    <w:rsid w:val="001A1D96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77A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6531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07FC8"/>
    <w:rsid w:val="00514A76"/>
    <w:rsid w:val="00517589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67B29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E3574"/>
    <w:rsid w:val="006F13BA"/>
    <w:rsid w:val="006F1E53"/>
    <w:rsid w:val="006F2DD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381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67AA"/>
    <w:rsid w:val="00D9779E"/>
    <w:rsid w:val="00DA31A8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431F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8AC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EB9B67"/>
  <w15:docId w15:val="{90896A08-6B9D-451E-BCB2-356DA73E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E20C1"/>
    <w:rsid w:val="001E5424"/>
    <w:rsid w:val="00334D3E"/>
    <w:rsid w:val="003555DD"/>
    <w:rsid w:val="003751FC"/>
    <w:rsid w:val="003810F9"/>
    <w:rsid w:val="00392E4A"/>
    <w:rsid w:val="00507140"/>
    <w:rsid w:val="006B60C9"/>
    <w:rsid w:val="00736B84"/>
    <w:rsid w:val="00742702"/>
    <w:rsid w:val="00753AAB"/>
    <w:rsid w:val="007609E6"/>
    <w:rsid w:val="007D5E97"/>
    <w:rsid w:val="007D6297"/>
    <w:rsid w:val="00823D35"/>
    <w:rsid w:val="00836FD8"/>
    <w:rsid w:val="00876864"/>
    <w:rsid w:val="008951F6"/>
    <w:rsid w:val="008A743D"/>
    <w:rsid w:val="008D78BB"/>
    <w:rsid w:val="00934671"/>
    <w:rsid w:val="00952E0D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077E8212-D3DC-4980-8CDC-642BA3EE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2</cp:revision>
  <cp:lastPrinted>2023-04-28T13:56:00Z</cp:lastPrinted>
  <dcterms:created xsi:type="dcterms:W3CDTF">2023-10-23T03:20:00Z</dcterms:created>
  <dcterms:modified xsi:type="dcterms:W3CDTF">2023-10-23T03:20:00Z</dcterms:modified>
</cp:coreProperties>
</file>